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insoku w:val="0"/>
        <w:overflowPunct w:val="0"/>
        <w:spacing w:before="8"/>
        <w:rPr>
          <w:rFonts w:hint="default" w:ascii="Times New Roman" w:hAnsi="Times New Roman" w:eastAsia="Times New Roman"/>
          <w:b w:val="0"/>
          <w:sz w:val="28"/>
        </w:rPr>
      </w:pPr>
    </w:p>
    <w:p>
      <w:pPr>
        <w:pStyle w:val="6"/>
        <w:kinsoku w:val="0"/>
        <w:overflowPunct w:val="0"/>
        <w:rPr>
          <w:rFonts w:hint="eastAsia"/>
          <w:b/>
          <w:bCs/>
          <w:color w:val="FF0000"/>
          <w:spacing w:val="44"/>
          <w:w w:val="40"/>
          <w:sz w:val="144"/>
        </w:rPr>
      </w:pPr>
      <w:r>
        <w:rPr>
          <w:rFonts w:hint="eastAsia"/>
          <w:b/>
          <w:bCs/>
          <w:color w:val="FF0000"/>
          <w:spacing w:val="44"/>
          <w:w w:val="40"/>
          <w:sz w:val="144"/>
        </w:rPr>
        <w:t>枣庄市市中区人</w:t>
      </w:r>
      <w:r>
        <w:rPr>
          <w:rFonts w:hint="eastAsia"/>
          <w:b/>
          <w:bCs/>
          <w:color w:val="FF0000"/>
          <w:spacing w:val="44"/>
          <w:w w:val="40"/>
          <w:sz w:val="144"/>
          <w:lang w:val="en-US" w:eastAsia="zh-CN"/>
        </w:rPr>
        <w:t>民</w:t>
      </w:r>
      <w:r>
        <w:rPr>
          <w:rFonts w:hint="eastAsia"/>
          <w:b/>
          <w:bCs/>
          <w:color w:val="FF0000"/>
          <w:spacing w:val="44"/>
          <w:w w:val="40"/>
          <w:sz w:val="144"/>
        </w:rPr>
        <w:t>政府办公室</w:t>
      </w:r>
    </w:p>
    <w:p>
      <w:pPr>
        <w:pStyle w:val="3"/>
        <w:kinsoku w:val="0"/>
        <w:overflowPunct w:val="0"/>
        <w:spacing w:before="619" w:after="64"/>
        <w:ind w:left="249" w:right="449"/>
        <w:jc w:val="center"/>
        <w:rPr>
          <w:rFonts w:hint="eastAsia" w:ascii="仿宋_GB2312" w:hAnsi="仿宋_GB2312" w:eastAsia="仿宋_GB2312"/>
          <w:sz w:val="32"/>
        </w:rPr>
      </w:pPr>
      <w:r>
        <w:rPr>
          <w:rFonts w:hint="eastAsia" w:ascii="仿宋_GB2312" w:hAnsi="仿宋_GB2312" w:eastAsia="仿宋_GB2312"/>
          <w:sz w:val="32"/>
        </w:rPr>
        <w:t>市中</w:t>
      </w:r>
      <w:bookmarkStart w:id="0" w:name="_GoBack"/>
      <w:bookmarkEnd w:id="0"/>
      <w:r>
        <w:rPr>
          <w:rFonts w:hint="eastAsia" w:ascii="仿宋_GB2312" w:hAnsi="仿宋_GB2312" w:eastAsia="仿宋_GB2312"/>
          <w:sz w:val="32"/>
        </w:rPr>
        <w:t>政办字〔202</w:t>
      </w:r>
      <w:r>
        <w:rPr>
          <w:rFonts w:hint="eastAsia" w:ascii="仿宋_GB2312" w:hAnsi="仿宋_GB2312" w:eastAsia="仿宋_GB2312"/>
          <w:sz w:val="32"/>
          <w:lang w:val="en-US" w:eastAsia="zh-CN"/>
        </w:rPr>
        <w:t>4</w:t>
      </w:r>
      <w:r>
        <w:rPr>
          <w:rFonts w:hint="eastAsia" w:ascii="仿宋_GB2312" w:hAnsi="仿宋_GB2312" w:eastAsia="仿宋_GB2312"/>
          <w:sz w:val="32"/>
        </w:rPr>
        <w:t>〕</w:t>
      </w:r>
      <w:r>
        <w:rPr>
          <w:rFonts w:hint="eastAsia" w:ascii="仿宋_GB2312" w:hAnsi="仿宋_GB2312" w:eastAsia="仿宋_GB2312"/>
          <w:sz w:val="32"/>
          <w:lang w:val="en-US" w:eastAsia="zh-CN"/>
        </w:rPr>
        <w:t>2</w:t>
      </w:r>
      <w:r>
        <w:rPr>
          <w:rFonts w:hint="eastAsia" w:ascii="仿宋_GB2312" w:hAnsi="仿宋_GB2312" w:eastAsia="仿宋_GB2312"/>
          <w:sz w:val="32"/>
        </w:rPr>
        <w:t>号</w:t>
      </w:r>
    </w:p>
    <w:p>
      <w:pPr>
        <w:pStyle w:val="3"/>
        <w:kinsoku w:val="0"/>
        <w:overflowPunct w:val="0"/>
        <w:spacing w:line="45" w:lineRule="exact"/>
        <w:ind w:left="-93"/>
        <w:rPr>
          <w:rFonts w:hint="eastAsia"/>
          <w:b w:val="0"/>
          <w:position w:val="-1"/>
          <w:sz w:val="4"/>
        </w:rPr>
      </w:pPr>
      <w:r>
        <w:rPr>
          <w:rFonts w:hint="default"/>
          <w:b w:val="0"/>
          <w:position w:val="-1"/>
          <w:sz w:val="4"/>
        </w:rPr>
        <mc:AlternateContent>
          <mc:Choice Requires="wpg">
            <w:drawing>
              <wp:inline distT="0" distB="0" distL="114300" distR="114300">
                <wp:extent cx="5760720" cy="28575"/>
                <wp:effectExtent l="0" t="0" r="0" b="0"/>
                <wp:docPr id="2" name="组合 1026"/>
                <wp:cNvGraphicFramePr/>
                <a:graphic xmlns:a="http://schemas.openxmlformats.org/drawingml/2006/main">
                  <a:graphicData uri="http://schemas.microsoft.com/office/word/2010/wordprocessingGroup">
                    <wpg:wgp>
                      <wpg:cNvGrpSpPr/>
                      <wpg:grpSpPr>
                        <a:xfrm>
                          <a:off x="0" y="0"/>
                          <a:ext cx="5760720" cy="28575"/>
                          <a:chOff x="0" y="0"/>
                          <a:chExt cx="9072" cy="45"/>
                        </a:xfrm>
                      </wpg:grpSpPr>
                      <wps:wsp>
                        <wps:cNvPr id="1" name="任意多边形 1027"/>
                        <wps:cNvSpPr/>
                        <wps:spPr>
                          <a:xfrm>
                            <a:off x="0" y="0"/>
                            <a:ext cx="9072" cy="45"/>
                          </a:xfrm>
                          <a:custGeom>
                            <a:avLst/>
                            <a:gdLst/>
                            <a:ahLst/>
                            <a:cxnLst/>
                            <a:pathLst>
                              <a:path w="9072" h="45">
                                <a:moveTo>
                                  <a:pt x="9071" y="45"/>
                                </a:moveTo>
                                <a:lnTo>
                                  <a:pt x="0" y="40"/>
                                </a:lnTo>
                                <a:lnTo>
                                  <a:pt x="0" y="0"/>
                                </a:lnTo>
                                <a:lnTo>
                                  <a:pt x="9071" y="5"/>
                                </a:lnTo>
                                <a:lnTo>
                                  <a:pt x="9071" y="45"/>
                                </a:lnTo>
                                <a:close/>
                              </a:path>
                            </a:pathLst>
                          </a:custGeom>
                          <a:solidFill>
                            <a:srgbClr val="FF0000"/>
                          </a:solidFill>
                          <a:ln>
                            <a:noFill/>
                          </a:ln>
                        </wps:spPr>
                        <wps:bodyPr wrap="square" upright="1"/>
                      </wps:wsp>
                    </wpg:wgp>
                  </a:graphicData>
                </a:graphic>
              </wp:inline>
            </w:drawing>
          </mc:Choice>
          <mc:Fallback>
            <w:pict>
              <v:group id="组合 1026" o:spid="_x0000_s1026" o:spt="203" style="height:2.25pt;width:453.6pt;" coordsize="9072,45" o:gfxdata="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10;aJCc1gAAAAMBAAAPAAAAAAAAAAEAIAAAACIAAABkcnMvZG93bnJldi54bWxQSwECFAAUAAAACACH&#10;TuJAPYYYdV8CAABnBQAADgAAAAAAAAABACAAAAAlAQAAZHJzL2Uyb0RvYy54bWxQSwUGAAAAAAYA&#10;BgBZAQAA9gUAAAAA&#10;">
                <o:lock v:ext="edit" aspectratio="f"/>
                <v:shape id="任意多边形 1027" o:spid="_x0000_s1026" o:spt="100" style="position:absolute;left:0;top:0;height:45;width:9072;" fillcolor="#FF0000" filled="t" stroked="f" coordsize="9072,45" o:gfxdata="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rhfIm5AAAA2gAA&#10;AA8AAAAAAAAAAQAgAAAAIgAAAGRycy9kb3ducmV2LnhtbFBLAQIUABQAAAAIAIdO4kAzLwWeOwAA&#10;ADkAAAAQAAAAAAAAAAEAIAAAAAgBAABkcnMvc2hhcGV4bWwueG1sUEsFBgAAAAAGAAYAWwEAALID&#10;AAAAAA==&#10;" path="m9071,45l0,40,0,0,9071,5,9071,45xe">
                  <v:fill on="t" focussize="0,0"/>
                  <v:stroke on="f"/>
                  <v:imagedata o:title=""/>
                  <o:lock v:ext="edit" aspectratio="f"/>
                </v:shape>
                <w10:wrap type="none"/>
                <w10:anchorlock/>
              </v:group>
            </w:pict>
          </mc:Fallback>
        </mc:AlternateContent>
      </w:r>
    </w:p>
    <w:p>
      <w:pPr>
        <w:pStyle w:val="3"/>
        <w:kinsoku w:val="0"/>
        <w:overflowPunct w:val="0"/>
        <w:rPr>
          <w:rFonts w:hint="eastAsia"/>
          <w:sz w:val="34"/>
        </w:rPr>
      </w:pPr>
    </w:p>
    <w:p>
      <w:pPr>
        <w:pStyle w:val="3"/>
        <w:kinsoku w:val="0"/>
        <w:overflowPunct w:val="0"/>
        <w:spacing w:before="9"/>
        <w:rPr>
          <w:rFonts w:hint="eastAsia"/>
          <w:sz w:val="21"/>
        </w:rPr>
      </w:pPr>
    </w:p>
    <w:p>
      <w:pPr>
        <w:pStyle w:val="2"/>
        <w:kinsoku w:val="0"/>
        <w:overflowPunct w:val="0"/>
        <w:spacing w:line="530" w:lineRule="exact"/>
        <w:ind w:right="448"/>
        <w:rPr>
          <w:rFonts w:hint="eastAsia"/>
          <w:b/>
          <w:spacing w:val="11"/>
          <w:w w:val="95"/>
          <w:sz w:val="44"/>
        </w:rPr>
      </w:pPr>
      <w:r>
        <w:rPr>
          <w:rFonts w:hint="eastAsia"/>
          <w:b/>
          <w:spacing w:val="11"/>
          <w:w w:val="95"/>
          <w:sz w:val="44"/>
          <w:lang w:val="en-US" w:eastAsia="zh-CN"/>
        </w:rPr>
        <w:t>枣庄市</w:t>
      </w:r>
      <w:r>
        <w:rPr>
          <w:rFonts w:hint="eastAsia"/>
          <w:b/>
          <w:spacing w:val="11"/>
          <w:w w:val="95"/>
          <w:sz w:val="44"/>
        </w:rPr>
        <w:t>市中区人民政府办公室</w:t>
      </w:r>
    </w:p>
    <w:p>
      <w:pPr>
        <w:pStyle w:val="3"/>
        <w:kinsoku w:val="0"/>
        <w:overflowPunct w:val="0"/>
        <w:spacing w:before="23" w:line="530" w:lineRule="exact"/>
        <w:ind w:left="264" w:right="448"/>
        <w:jc w:val="center"/>
        <w:rPr>
          <w:rFonts w:hint="eastAsia" w:ascii="方正小标宋简体" w:hAnsi="方正小标宋简体" w:eastAsia="方正小标宋简体"/>
          <w:b/>
          <w:spacing w:val="11"/>
          <w:sz w:val="44"/>
        </w:rPr>
      </w:pPr>
      <w:r>
        <w:rPr>
          <w:rFonts w:hint="eastAsia" w:ascii="方正小标宋简体" w:hAnsi="方正小标宋简体" w:eastAsia="方正小标宋简体"/>
          <w:b/>
          <w:spacing w:val="11"/>
          <w:w w:val="95"/>
          <w:sz w:val="44"/>
        </w:rPr>
        <w:t>关于印发</w:t>
      </w:r>
      <w:r>
        <w:rPr>
          <w:rFonts w:hint="eastAsia" w:ascii="方正小标宋简体" w:hAnsi="方正小标宋简体" w:eastAsia="方正小标宋简体"/>
          <w:b/>
          <w:spacing w:val="11"/>
          <w:w w:val="95"/>
          <w:sz w:val="44"/>
          <w:lang w:eastAsia="zh-CN"/>
        </w:rPr>
        <w:t>《市中区环境空气质量量化考核</w:t>
      </w:r>
      <w:r>
        <w:rPr>
          <w:rFonts w:hint="eastAsia" w:ascii="方正小标宋简体" w:hAnsi="方正小标宋简体" w:eastAsia="方正小标宋简体"/>
          <w:b/>
          <w:spacing w:val="11"/>
          <w:w w:val="95"/>
          <w:sz w:val="44"/>
          <w:lang w:val="en-US" w:eastAsia="zh-CN"/>
        </w:rPr>
        <w:t>奖惩</w:t>
      </w:r>
      <w:r>
        <w:rPr>
          <w:rFonts w:hint="eastAsia" w:ascii="方正小标宋简体" w:hAnsi="方正小标宋简体" w:eastAsia="方正小标宋简体"/>
          <w:b/>
          <w:spacing w:val="11"/>
          <w:w w:val="95"/>
          <w:sz w:val="44"/>
          <w:lang w:eastAsia="zh-CN"/>
        </w:rPr>
        <w:t>办法（</w:t>
      </w:r>
      <w:r>
        <w:rPr>
          <w:rFonts w:hint="eastAsia" w:ascii="方正小标宋简体" w:hAnsi="方正小标宋简体" w:eastAsia="方正小标宋简体"/>
          <w:b/>
          <w:spacing w:val="11"/>
          <w:w w:val="95"/>
          <w:sz w:val="44"/>
          <w:lang w:val="en-US" w:eastAsia="zh-CN"/>
        </w:rPr>
        <w:t>修订</w:t>
      </w:r>
      <w:r>
        <w:rPr>
          <w:rFonts w:hint="eastAsia" w:ascii="方正小标宋简体" w:hAnsi="方正小标宋简体" w:eastAsia="方正小标宋简体"/>
          <w:b/>
          <w:spacing w:val="11"/>
          <w:w w:val="95"/>
          <w:sz w:val="44"/>
          <w:lang w:eastAsia="zh-CN"/>
        </w:rPr>
        <w:t>）》</w:t>
      </w:r>
      <w:r>
        <w:rPr>
          <w:rFonts w:hint="eastAsia" w:ascii="方正小标宋简体" w:hAnsi="方正小标宋简体" w:eastAsia="方正小标宋简体"/>
          <w:b/>
          <w:spacing w:val="11"/>
          <w:sz w:val="44"/>
        </w:rPr>
        <w:t>的通知</w:t>
      </w:r>
    </w:p>
    <w:p>
      <w:pPr>
        <w:pStyle w:val="3"/>
        <w:kinsoku w:val="0"/>
        <w:overflowPunct w:val="0"/>
        <w:spacing w:before="14"/>
        <w:rPr>
          <w:rFonts w:hint="eastAsia" w:ascii="方正小标宋简体" w:hAnsi="方正小标宋简体" w:eastAsia="方正小标宋简体"/>
          <w:sz w:val="29"/>
        </w:rPr>
      </w:pPr>
    </w:p>
    <w:p>
      <w:pPr>
        <w:pStyle w:val="3"/>
        <w:kinsoku w:val="0"/>
        <w:overflowPunct w:val="0"/>
        <w:spacing w:before="1" w:line="530" w:lineRule="exact"/>
        <w:ind w:left="144"/>
        <w:rPr>
          <w:rFonts w:hint="eastAsia" w:ascii="仿宋_GB2312" w:hAnsi="仿宋_GB2312" w:eastAsia="仿宋_GB2312"/>
          <w:sz w:val="32"/>
        </w:rPr>
      </w:pPr>
      <w:r>
        <w:rPr>
          <w:rFonts w:hint="eastAsia" w:ascii="仿宋_GB2312" w:hAnsi="仿宋_GB2312" w:eastAsia="仿宋_GB2312"/>
          <w:sz w:val="32"/>
        </w:rPr>
        <w:t>各镇人民政府，各街道办事处，区政府有关部门</w:t>
      </w:r>
      <w:r>
        <w:rPr>
          <w:rFonts w:hint="eastAsia" w:ascii="仿宋_GB2312" w:hAnsi="仿宋_GB2312" w:eastAsia="仿宋_GB2312"/>
          <w:sz w:val="32"/>
          <w:lang w:eastAsia="zh-CN"/>
        </w:rPr>
        <w:t>（单位）</w:t>
      </w:r>
      <w:r>
        <w:rPr>
          <w:rFonts w:hint="eastAsia" w:ascii="仿宋_GB2312" w:hAnsi="仿宋_GB2312" w:eastAsia="仿宋_GB2312"/>
          <w:sz w:val="32"/>
        </w:rPr>
        <w:t>：</w:t>
      </w:r>
    </w:p>
    <w:p>
      <w:pPr>
        <w:pStyle w:val="3"/>
        <w:kinsoku w:val="0"/>
        <w:overflowPunct w:val="0"/>
        <w:spacing w:before="7" w:line="530" w:lineRule="exact"/>
        <w:ind w:left="144" w:right="337" w:firstLine="640"/>
        <w:rPr>
          <w:rFonts w:hint="eastAsia" w:ascii="仿宋_GB2312" w:hAnsi="仿宋_GB2312" w:eastAsia="仿宋_GB2312"/>
          <w:sz w:val="32"/>
        </w:rPr>
      </w:pPr>
      <w:r>
        <w:rPr>
          <w:rFonts w:hint="eastAsia" w:ascii="仿宋_GB2312" w:hAnsi="仿宋_GB2312" w:eastAsia="仿宋_GB2312"/>
          <w:w w:val="95"/>
          <w:sz w:val="32"/>
        </w:rPr>
        <w:t>《市中区环境空气质量量化考核</w:t>
      </w:r>
      <w:r>
        <w:rPr>
          <w:rFonts w:hint="eastAsia" w:ascii="仿宋_GB2312" w:hAnsi="仿宋_GB2312" w:eastAsia="仿宋_GB2312"/>
          <w:w w:val="95"/>
          <w:sz w:val="32"/>
          <w:lang w:val="en-US" w:eastAsia="zh-CN"/>
        </w:rPr>
        <w:t>奖惩</w:t>
      </w:r>
      <w:r>
        <w:rPr>
          <w:rFonts w:hint="eastAsia" w:ascii="仿宋_GB2312" w:hAnsi="仿宋_GB2312" w:eastAsia="仿宋_GB2312"/>
          <w:w w:val="95"/>
          <w:sz w:val="32"/>
        </w:rPr>
        <w:t>办法》已经区委、区政府</w:t>
      </w:r>
      <w:r>
        <w:rPr>
          <w:rFonts w:hint="eastAsia" w:ascii="仿宋_GB2312" w:hAnsi="仿宋_GB2312" w:eastAsia="仿宋_GB2312"/>
          <w:spacing w:val="1"/>
          <w:w w:val="95"/>
          <w:sz w:val="32"/>
        </w:rPr>
        <w:t xml:space="preserve"> </w:t>
      </w:r>
      <w:r>
        <w:rPr>
          <w:rFonts w:hint="eastAsia" w:ascii="仿宋_GB2312" w:hAnsi="仿宋_GB2312" w:eastAsia="仿宋_GB2312"/>
          <w:sz w:val="32"/>
        </w:rPr>
        <w:t>同意，现印发给你们，请认真贯彻执行。</w:t>
      </w:r>
    </w:p>
    <w:p>
      <w:pPr>
        <w:pStyle w:val="3"/>
        <w:kinsoku w:val="0"/>
        <w:overflowPunct w:val="0"/>
        <w:spacing w:line="530" w:lineRule="exact"/>
        <w:rPr>
          <w:rFonts w:hint="eastAsia" w:ascii="仿宋_GB2312" w:hAnsi="仿宋_GB2312" w:eastAsia="仿宋_GB2312"/>
          <w:sz w:val="32"/>
        </w:rPr>
      </w:pPr>
    </w:p>
    <w:p>
      <w:pPr>
        <w:pStyle w:val="3"/>
        <w:kinsoku w:val="0"/>
        <w:overflowPunct w:val="0"/>
        <w:spacing w:line="530" w:lineRule="exact"/>
        <w:rPr>
          <w:rFonts w:hint="eastAsia" w:ascii="仿宋_GB2312" w:hAnsi="仿宋_GB2312" w:eastAsia="仿宋_GB2312"/>
          <w:sz w:val="32"/>
        </w:rPr>
      </w:pPr>
    </w:p>
    <w:p>
      <w:pPr>
        <w:pStyle w:val="3"/>
        <w:kinsoku w:val="0"/>
        <w:overflowPunct w:val="0"/>
        <w:spacing w:line="530" w:lineRule="exact"/>
        <w:rPr>
          <w:rFonts w:hint="eastAsia" w:ascii="仿宋_GB2312" w:hAnsi="仿宋_GB2312" w:eastAsia="仿宋_GB2312"/>
          <w:sz w:val="32"/>
        </w:rPr>
      </w:pPr>
    </w:p>
    <w:p>
      <w:pPr>
        <w:pStyle w:val="3"/>
        <w:kinsoku w:val="0"/>
        <w:overflowPunct w:val="0"/>
        <w:spacing w:line="530" w:lineRule="exact"/>
        <w:rPr>
          <w:rFonts w:hint="eastAsia" w:ascii="仿宋_GB2312" w:hAnsi="仿宋_GB2312" w:eastAsia="仿宋_GB2312"/>
          <w:sz w:val="32"/>
        </w:rPr>
      </w:pPr>
    </w:p>
    <w:p>
      <w:pPr>
        <w:pStyle w:val="3"/>
        <w:kinsoku w:val="0"/>
        <w:overflowPunct w:val="0"/>
        <w:spacing w:before="1" w:line="530" w:lineRule="exact"/>
        <w:rPr>
          <w:rFonts w:hint="eastAsia" w:ascii="仿宋_GB2312" w:hAnsi="仿宋_GB2312" w:eastAsia="仿宋_GB2312"/>
          <w:sz w:val="32"/>
        </w:rPr>
      </w:pPr>
    </w:p>
    <w:p>
      <w:pPr>
        <w:pStyle w:val="3"/>
        <w:kinsoku w:val="0"/>
        <w:overflowPunct w:val="0"/>
        <w:spacing w:line="530" w:lineRule="exact"/>
        <w:jc w:val="right"/>
        <w:rPr>
          <w:rFonts w:hint="eastAsia" w:ascii="仿宋_GB2312" w:hAnsi="仿宋_GB2312" w:eastAsia="仿宋_GB2312"/>
          <w:w w:val="95"/>
          <w:sz w:val="32"/>
        </w:rPr>
      </w:pPr>
      <w:r>
        <w:rPr>
          <w:rFonts w:hint="eastAsia" w:ascii="仿宋_GB2312" w:hAnsi="仿宋_GB2312" w:eastAsia="仿宋_GB2312"/>
          <w:w w:val="95"/>
          <w:sz w:val="32"/>
          <w:lang w:val="en-US" w:eastAsia="zh-CN"/>
        </w:rPr>
        <w:t>枣庄市</w:t>
      </w:r>
      <w:r>
        <w:rPr>
          <w:rFonts w:hint="eastAsia" w:ascii="仿宋_GB2312" w:hAnsi="仿宋_GB2312" w:eastAsia="仿宋_GB2312"/>
          <w:w w:val="95"/>
          <w:sz w:val="32"/>
        </w:rPr>
        <w:t>市中区人民政府办公室</w:t>
      </w:r>
    </w:p>
    <w:p>
      <w:pPr>
        <w:pStyle w:val="3"/>
        <w:kinsoku w:val="0"/>
        <w:overflowPunct w:val="0"/>
        <w:spacing w:line="530" w:lineRule="exact"/>
        <w:ind w:right="344"/>
        <w:jc w:val="cente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202</w:t>
      </w:r>
      <w:r>
        <w:rPr>
          <w:rFonts w:hint="eastAsia" w:ascii="仿宋_GB2312" w:hAnsi="仿宋_GB2312" w:eastAsia="仿宋_GB2312"/>
          <w:sz w:val="32"/>
          <w:lang w:val="en-US" w:eastAsia="zh-CN"/>
        </w:rPr>
        <w:t>4</w:t>
      </w:r>
      <w:r>
        <w:rPr>
          <w:rFonts w:hint="eastAsia" w:ascii="仿宋_GB2312" w:hAnsi="仿宋_GB2312" w:eastAsia="仿宋_GB2312"/>
          <w:spacing w:val="39"/>
          <w:sz w:val="32"/>
        </w:rPr>
        <w:t>年</w:t>
      </w:r>
      <w:r>
        <w:rPr>
          <w:rFonts w:hint="eastAsia" w:ascii="仿宋_GB2312" w:hAnsi="仿宋_GB2312" w:eastAsia="仿宋_GB2312"/>
          <w:sz w:val="32"/>
          <w:lang w:val="en-US" w:eastAsia="zh-CN"/>
        </w:rPr>
        <w:t>2</w:t>
      </w:r>
      <w:r>
        <w:rPr>
          <w:rFonts w:hint="eastAsia" w:ascii="仿宋_GB2312" w:hAnsi="仿宋_GB2312" w:eastAsia="仿宋_GB2312"/>
          <w:sz w:val="32"/>
        </w:rPr>
        <w:t>月</w:t>
      </w:r>
      <w:r>
        <w:rPr>
          <w:rFonts w:hint="eastAsia" w:ascii="仿宋_GB2312" w:hAnsi="仿宋_GB2312" w:eastAsia="仿宋_GB2312"/>
          <w:sz w:val="32"/>
          <w:lang w:val="en-US" w:eastAsia="zh-CN"/>
        </w:rPr>
        <w:t>6</w:t>
      </w:r>
      <w:r>
        <w:rPr>
          <w:rFonts w:hint="eastAsia" w:ascii="仿宋_GB2312" w:hAnsi="仿宋_GB2312" w:eastAsia="仿宋_GB2312"/>
          <w:sz w:val="32"/>
        </w:rPr>
        <w:t>日</w:t>
      </w:r>
    </w:p>
    <w:p>
      <w:pPr>
        <w:pStyle w:val="3"/>
        <w:kinsoku w:val="0"/>
        <w:overflowPunct w:val="0"/>
        <w:spacing w:line="530" w:lineRule="exact"/>
        <w:ind w:left="784"/>
        <w:rPr>
          <w:rFonts w:hint="eastAsia" w:ascii="仿宋_GB2312" w:hAnsi="仿宋_GB2312" w:eastAsia="仿宋_GB2312"/>
          <w:sz w:val="32"/>
        </w:rPr>
      </w:pPr>
      <w:r>
        <w:rPr>
          <w:rFonts w:hint="eastAsia" w:ascii="仿宋_GB2312" w:hAnsi="仿宋_GB2312" w:eastAsia="仿宋_GB2312"/>
          <w:sz w:val="32"/>
        </w:rPr>
        <w:t>（此件公开发布）</w:t>
      </w:r>
    </w:p>
    <w:p>
      <w:pPr>
        <w:pStyle w:val="3"/>
        <w:kinsoku w:val="0"/>
        <w:overflowPunct w:val="0"/>
        <w:spacing w:line="574" w:lineRule="exact"/>
        <w:ind w:left="784"/>
        <w:rPr>
          <w:rFonts w:hint="eastAsia"/>
          <w:sz w:val="32"/>
        </w:rPr>
        <w:sectPr>
          <w:footerReference r:id="rId3" w:type="default"/>
          <w:footerReference r:id="rId4" w:type="even"/>
          <w:pgSz w:w="11910" w:h="16840"/>
          <w:pgMar w:top="1580" w:right="1300" w:bottom="1580" w:left="1500" w:header="0" w:footer="1388" w:gutter="0"/>
          <w:lnNumType w:countBy="0" w:distance="360"/>
          <w:pgNumType w:fmt="decimal" w:start="1"/>
          <w:cols w:space="720" w:num="1"/>
        </w:sectPr>
      </w:pP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jc w:val="center"/>
        <w:textAlignment w:val="auto"/>
        <w:rPr>
          <w:rFonts w:hint="eastAsia" w:ascii="方正小标宋简体" w:hAnsi="方正小标宋简体" w:eastAsia="方正小标宋简体" w:cs="方正小标宋简体"/>
          <w:w w:val="95"/>
          <w:sz w:val="44"/>
          <w:szCs w:val="44"/>
          <w:lang w:eastAsia="zh-CN"/>
        </w:rPr>
      </w:pPr>
      <w:r>
        <w:rPr>
          <w:rFonts w:hint="eastAsia" w:ascii="方正小标宋简体" w:hAnsi="方正小标宋简体" w:eastAsia="方正小标宋简体" w:cs="方正小标宋简体"/>
          <w:w w:val="95"/>
          <w:sz w:val="44"/>
          <w:szCs w:val="44"/>
        </w:rPr>
        <w:t>市中区环境空气质量量化考核奖惩办法</w:t>
      </w:r>
      <w:r>
        <w:rPr>
          <w:rFonts w:hint="eastAsia" w:ascii="方正小标宋简体" w:hAnsi="方正小标宋简体" w:eastAsia="方正小标宋简体" w:cs="方正小标宋简体"/>
          <w:w w:val="95"/>
          <w:sz w:val="44"/>
          <w:szCs w:val="44"/>
          <w:lang w:eastAsia="zh-CN"/>
        </w:rPr>
        <w:t>（</w:t>
      </w:r>
      <w:r>
        <w:rPr>
          <w:rFonts w:hint="eastAsia" w:ascii="方正小标宋简体" w:hAnsi="方正小标宋简体" w:eastAsia="方正小标宋简体" w:cs="方正小标宋简体"/>
          <w:w w:val="95"/>
          <w:sz w:val="44"/>
          <w:szCs w:val="44"/>
          <w:lang w:val="en-US" w:eastAsia="zh-CN"/>
        </w:rPr>
        <w:t>修订</w:t>
      </w:r>
      <w:r>
        <w:rPr>
          <w:rFonts w:hint="eastAsia" w:ascii="方正小标宋简体" w:hAnsi="方正小标宋简体" w:eastAsia="方正小标宋简体" w:cs="方正小标宋简体"/>
          <w:w w:val="95"/>
          <w:sz w:val="44"/>
          <w:szCs w:val="44"/>
          <w:lang w:eastAsia="zh-CN"/>
        </w:rPr>
        <w:t>）</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11" w:firstLineChars="200"/>
        <w:textAlignment w:val="auto"/>
        <w:rPr>
          <w:rFonts w:hint="eastAsia" w:ascii="仿宋_GB2312" w:hAnsi="仿宋_GB2312" w:eastAsia="仿宋_GB2312" w:cs="仿宋_GB2312"/>
          <w:w w:val="95"/>
          <w:sz w:val="32"/>
          <w:szCs w:val="32"/>
        </w:rPr>
      </w:pP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为适应当前环境空气质量改善的形势，更好激励各镇街空气质量改善，科学合理实施空气质量奖惩，依据《枣庄市环境空气质量量化考核办法的通知》，现对《市中区城市环境空气质量改善奖惩方案》进行修订，修订后方案如</w:t>
      </w:r>
      <w:r>
        <w:rPr>
          <w:rFonts w:hint="eastAsia" w:ascii="仿宋_GB2312" w:hAnsi="仿宋_GB2312" w:eastAsia="仿宋_GB2312" w:cs="仿宋_GB2312"/>
          <w:b/>
          <w:spacing w:val="17"/>
          <w:w w:val="100"/>
          <w:kern w:val="0"/>
          <w:sz w:val="32"/>
          <w:szCs w:val="32"/>
          <w:lang w:val="en-US" w:eastAsia="zh-CN"/>
        </w:rPr>
        <w:t>下</w:t>
      </w:r>
      <w:r>
        <w:rPr>
          <w:rFonts w:hint="eastAsia" w:ascii="仿宋_GB2312" w:hAnsi="仿宋_GB2312" w:eastAsia="仿宋_GB2312" w:cs="仿宋_GB2312"/>
          <w:b/>
          <w:spacing w:val="17"/>
          <w:w w:val="100"/>
          <w:kern w:val="0"/>
          <w:sz w:val="32"/>
          <w:szCs w:val="32"/>
        </w:rPr>
        <w:t>。</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黑体" w:hAnsi="黑体" w:eastAsia="黑体" w:cs="黑体"/>
          <w:b/>
          <w:spacing w:val="17"/>
          <w:w w:val="100"/>
          <w:kern w:val="0"/>
          <w:sz w:val="32"/>
          <w:szCs w:val="32"/>
        </w:rPr>
        <w:t>一、考核对象</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全区行政区域内的11个镇（街）环境空气质量的奖惩考核。</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default" w:ascii="仿宋_GB2312" w:hAnsi="仿宋_GB2312" w:eastAsia="黑体" w:cs="仿宋_GB2312"/>
          <w:b/>
          <w:spacing w:val="17"/>
          <w:w w:val="100"/>
          <w:kern w:val="0"/>
          <w:sz w:val="32"/>
          <w:szCs w:val="32"/>
          <w:lang w:val="en-US" w:eastAsia="zh-CN"/>
        </w:rPr>
      </w:pPr>
      <w:r>
        <w:rPr>
          <w:rFonts w:hint="eastAsia" w:ascii="黑体" w:hAnsi="黑体" w:eastAsia="黑体" w:cs="黑体"/>
          <w:b/>
          <w:spacing w:val="17"/>
          <w:w w:val="100"/>
          <w:kern w:val="0"/>
          <w:sz w:val="32"/>
          <w:szCs w:val="32"/>
        </w:rPr>
        <w:t>二、</w:t>
      </w:r>
      <w:r>
        <w:rPr>
          <w:rFonts w:hint="eastAsia" w:ascii="黑体" w:hAnsi="黑体" w:eastAsia="黑体" w:cs="黑体"/>
          <w:b/>
          <w:spacing w:val="17"/>
          <w:w w:val="100"/>
          <w:kern w:val="0"/>
          <w:sz w:val="32"/>
          <w:szCs w:val="32"/>
          <w:lang w:val="en-US" w:eastAsia="zh-CN"/>
        </w:rPr>
        <w:t>考核指标</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楷体_GB2312" w:hAnsi="楷体_GB2312" w:eastAsia="楷体_GB2312" w:cs="楷体_GB2312"/>
          <w:b/>
          <w:spacing w:val="17"/>
          <w:w w:val="100"/>
          <w:kern w:val="0"/>
          <w:sz w:val="32"/>
          <w:szCs w:val="32"/>
        </w:rPr>
      </w:pPr>
      <w:r>
        <w:rPr>
          <w:rFonts w:hint="eastAsia" w:ascii="楷体_GB2312" w:hAnsi="楷体_GB2312" w:eastAsia="楷体_GB2312" w:cs="楷体_GB2312"/>
          <w:b/>
          <w:spacing w:val="17"/>
          <w:w w:val="100"/>
          <w:kern w:val="0"/>
          <w:sz w:val="32"/>
          <w:szCs w:val="32"/>
        </w:rPr>
        <w:t>（一）采暖期（1月、2 月、3月、11月、12月）</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环境空气质量奖惩考核因子为环境空气质量综合指数（以下简“综合指数”）、PM2.5、二氧化硫，其中PM2.5、二氧化硫浓度以微克/立方米计。</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楷体_GB2312" w:hAnsi="楷体_GB2312" w:eastAsia="楷体_GB2312" w:cs="楷体_GB2312"/>
          <w:b/>
          <w:spacing w:val="17"/>
          <w:w w:val="100"/>
          <w:kern w:val="0"/>
          <w:sz w:val="32"/>
          <w:szCs w:val="32"/>
        </w:rPr>
      </w:pPr>
      <w:r>
        <w:rPr>
          <w:rFonts w:hint="eastAsia" w:ascii="楷体_GB2312" w:hAnsi="楷体_GB2312" w:eastAsia="楷体_GB2312" w:cs="楷体_GB2312"/>
          <w:b/>
          <w:spacing w:val="17"/>
          <w:w w:val="100"/>
          <w:kern w:val="0"/>
          <w:sz w:val="32"/>
          <w:szCs w:val="32"/>
        </w:rPr>
        <w:t>（二）非采暖期（4-10月）</w:t>
      </w:r>
    </w:p>
    <w:p>
      <w:pPr>
        <w:keepNext w:val="0"/>
        <w:keepLines w:val="0"/>
        <w:pageBreakBefore w:val="0"/>
        <w:widowControl w:val="0"/>
        <w:wordWrap/>
        <w:topLinePunct w:val="0"/>
        <w:autoSpaceDE w:val="0"/>
        <w:autoSpaceDN w:val="0"/>
        <w:bidi w:val="0"/>
        <w:adjustRightInd w:val="0"/>
        <w:snapToGrid/>
        <w:spacing w:beforeLines="0" w:afterLines="0" w:line="560" w:lineRule="exact"/>
        <w:ind w:firstLine="711" w:firstLineChars="200"/>
        <w:jc w:val="left"/>
        <w:textAlignment w:val="auto"/>
        <w:rPr>
          <w:rFonts w:hint="eastAsia" w:ascii="仿宋_GB2312" w:hAnsi="仿宋_GB2312" w:eastAsia="仿宋_GB2312" w:cs="仿宋_GB2312"/>
          <w:b/>
          <w:bCs w:val="0"/>
          <w:spacing w:val="17"/>
          <w:w w:val="100"/>
          <w:kern w:val="0"/>
          <w:sz w:val="32"/>
          <w:szCs w:val="32"/>
        </w:rPr>
      </w:pPr>
      <w:r>
        <w:rPr>
          <w:rFonts w:hint="eastAsia" w:ascii="仿宋_GB2312" w:hAnsi="仿宋_GB2312" w:eastAsia="仿宋_GB2312" w:cs="仿宋_GB2312"/>
          <w:b/>
          <w:spacing w:val="17"/>
          <w:w w:val="100"/>
          <w:kern w:val="0"/>
          <w:sz w:val="32"/>
          <w:szCs w:val="32"/>
        </w:rPr>
        <w:t>环境空气质量奖惩考核因子为综合指数、</w:t>
      </w:r>
      <w:r>
        <w:rPr>
          <w:rFonts w:hint="eastAsia" w:ascii="仿宋_GB2312" w:hAnsi="仿宋_GB2312" w:eastAsia="仿宋_GB2312" w:cs="仿宋_GB2312"/>
          <w:b/>
          <w:bCs w:val="0"/>
          <w:spacing w:val="17"/>
          <w:sz w:val="32"/>
        </w:rPr>
        <w:t>PM</w:t>
      </w:r>
      <w:r>
        <w:rPr>
          <w:rFonts w:hint="eastAsia" w:ascii="仿宋_GB2312" w:hAnsi="仿宋_GB2312" w:eastAsia="仿宋_GB2312" w:cs="仿宋_GB2312"/>
          <w:b/>
          <w:bCs w:val="0"/>
          <w:spacing w:val="17"/>
          <w:sz w:val="21"/>
        </w:rPr>
        <w:t>2.5</w:t>
      </w:r>
      <w:r>
        <w:rPr>
          <w:rFonts w:hint="eastAsia" w:ascii="仿宋_GB2312" w:hAnsi="仿宋_GB2312" w:eastAsia="仿宋_GB2312" w:cs="仿宋_GB2312"/>
          <w:b/>
          <w:bCs w:val="0"/>
          <w:spacing w:val="17"/>
          <w:sz w:val="32"/>
        </w:rPr>
        <w:t>、PM</w:t>
      </w:r>
      <w:r>
        <w:rPr>
          <w:rFonts w:hint="eastAsia" w:ascii="仿宋_GB2312" w:hAnsi="仿宋_GB2312" w:eastAsia="仿宋_GB2312" w:cs="仿宋_GB2312"/>
          <w:b/>
          <w:bCs w:val="0"/>
          <w:spacing w:val="17"/>
          <w:sz w:val="21"/>
        </w:rPr>
        <w:t>10</w:t>
      </w:r>
      <w:r>
        <w:rPr>
          <w:rFonts w:hint="eastAsia" w:ascii="仿宋_GB2312" w:hAnsi="仿宋_GB2312" w:eastAsia="仿宋_GB2312" w:cs="仿宋_GB2312"/>
          <w:b/>
          <w:bCs w:val="0"/>
          <w:spacing w:val="17"/>
          <w:sz w:val="32"/>
        </w:rPr>
        <w:t>、O</w:t>
      </w:r>
      <w:r>
        <w:rPr>
          <w:rFonts w:hint="eastAsia" w:ascii="仿宋_GB2312" w:hAnsi="仿宋_GB2312" w:eastAsia="仿宋_GB2312" w:cs="仿宋_GB2312"/>
          <w:b/>
          <w:bCs w:val="0"/>
          <w:spacing w:val="17"/>
          <w:sz w:val="21"/>
        </w:rPr>
        <w:t>3</w:t>
      </w:r>
      <w:r>
        <w:rPr>
          <w:rFonts w:hint="eastAsia" w:ascii="仿宋_GB2312" w:hAnsi="仿宋_GB2312" w:eastAsia="仿宋_GB2312" w:cs="仿宋_GB2312"/>
          <w:b/>
          <w:bCs w:val="0"/>
          <w:spacing w:val="17"/>
          <w:sz w:val="32"/>
        </w:rPr>
        <w:t>，其中PM</w:t>
      </w:r>
      <w:r>
        <w:rPr>
          <w:rFonts w:hint="eastAsia" w:ascii="仿宋_GB2312" w:hAnsi="仿宋_GB2312" w:eastAsia="仿宋_GB2312" w:cs="仿宋_GB2312"/>
          <w:b/>
          <w:bCs w:val="0"/>
          <w:spacing w:val="17"/>
          <w:sz w:val="21"/>
        </w:rPr>
        <w:t>2.5</w:t>
      </w:r>
      <w:r>
        <w:rPr>
          <w:rFonts w:hint="eastAsia" w:ascii="仿宋_GB2312" w:hAnsi="仿宋_GB2312" w:eastAsia="仿宋_GB2312" w:cs="仿宋_GB2312"/>
          <w:b/>
          <w:bCs w:val="0"/>
          <w:spacing w:val="17"/>
          <w:sz w:val="32"/>
        </w:rPr>
        <w:t>、PM</w:t>
      </w:r>
      <w:r>
        <w:rPr>
          <w:rFonts w:hint="eastAsia" w:ascii="仿宋_GB2312" w:hAnsi="仿宋_GB2312" w:eastAsia="仿宋_GB2312" w:cs="仿宋_GB2312"/>
          <w:b/>
          <w:bCs w:val="0"/>
          <w:spacing w:val="17"/>
          <w:sz w:val="21"/>
        </w:rPr>
        <w:t>10</w:t>
      </w:r>
      <w:r>
        <w:rPr>
          <w:rFonts w:hint="eastAsia" w:ascii="仿宋_GB2312" w:hAnsi="仿宋_GB2312" w:eastAsia="仿宋_GB2312" w:cs="仿宋_GB2312"/>
          <w:b/>
          <w:bCs w:val="0"/>
          <w:spacing w:val="17"/>
          <w:sz w:val="32"/>
        </w:rPr>
        <w:t>、O</w:t>
      </w:r>
      <w:r>
        <w:rPr>
          <w:rFonts w:hint="eastAsia" w:ascii="仿宋_GB2312" w:hAnsi="仿宋_GB2312" w:eastAsia="仿宋_GB2312" w:cs="仿宋_GB2312"/>
          <w:b/>
          <w:bCs w:val="0"/>
          <w:spacing w:val="17"/>
          <w:sz w:val="21"/>
        </w:rPr>
        <w:t>3</w:t>
      </w:r>
      <w:r>
        <w:rPr>
          <w:rFonts w:hint="eastAsia" w:ascii="仿宋_GB2312" w:hAnsi="仿宋_GB2312" w:eastAsia="仿宋_GB2312" w:cs="仿宋_GB2312"/>
          <w:b/>
          <w:bCs w:val="0"/>
          <w:spacing w:val="17"/>
          <w:w w:val="100"/>
          <w:kern w:val="0"/>
          <w:sz w:val="32"/>
          <w:szCs w:val="32"/>
        </w:rPr>
        <w:t>浓度以微克/立方米计。</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default" w:ascii="黑体" w:hAnsi="黑体" w:eastAsia="黑体" w:cs="黑体"/>
          <w:b/>
          <w:spacing w:val="17"/>
          <w:w w:val="100"/>
          <w:kern w:val="0"/>
          <w:sz w:val="32"/>
          <w:szCs w:val="32"/>
          <w:lang w:val="en-US" w:eastAsia="zh-CN"/>
        </w:rPr>
      </w:pPr>
      <w:r>
        <w:rPr>
          <w:rFonts w:hint="eastAsia" w:ascii="黑体" w:hAnsi="黑体" w:eastAsia="黑体" w:cs="黑体"/>
          <w:b/>
          <w:spacing w:val="17"/>
          <w:w w:val="100"/>
          <w:kern w:val="0"/>
          <w:sz w:val="32"/>
          <w:szCs w:val="32"/>
        </w:rPr>
        <w:t>三、</w:t>
      </w:r>
      <w:r>
        <w:rPr>
          <w:rFonts w:hint="eastAsia" w:ascii="黑体" w:hAnsi="黑体" w:eastAsia="黑体" w:cs="黑体"/>
          <w:b/>
          <w:spacing w:val="17"/>
          <w:w w:val="100"/>
          <w:kern w:val="0"/>
          <w:sz w:val="32"/>
          <w:szCs w:val="32"/>
          <w:lang w:val="en-US" w:eastAsia="zh-CN"/>
        </w:rPr>
        <w:t>考核基数</w:t>
      </w:r>
    </w:p>
    <w:p>
      <w:pPr>
        <w:keepNext w:val="0"/>
        <w:keepLines w:val="0"/>
        <w:pageBreakBefore w:val="0"/>
        <w:widowControl w:val="0"/>
        <w:wordWrap/>
        <w:topLinePunct w:val="0"/>
        <w:autoSpaceDE w:val="0"/>
        <w:autoSpaceDN w:val="0"/>
        <w:bidi w:val="0"/>
        <w:adjustRightInd w:val="0"/>
        <w:snapToGrid/>
        <w:spacing w:beforeLines="0" w:afterLines="0" w:line="560" w:lineRule="exact"/>
        <w:ind w:firstLine="711" w:firstLineChars="200"/>
        <w:jc w:val="left"/>
        <w:textAlignment w:val="auto"/>
        <w:rPr>
          <w:rFonts w:hint="eastAsia" w:ascii="仿宋_GB2312" w:hAnsi="仿宋_GB2312" w:eastAsia="仿宋_GB2312" w:cs="仿宋_GB2312"/>
          <w:b/>
          <w:bCs/>
          <w:spacing w:val="17"/>
          <w:w w:val="100"/>
          <w:kern w:val="0"/>
          <w:sz w:val="32"/>
          <w:szCs w:val="32"/>
        </w:rPr>
      </w:pPr>
      <w:r>
        <w:rPr>
          <w:rFonts w:hint="eastAsia" w:ascii="仿宋_GB2312" w:hAnsi="仿宋_GB2312" w:eastAsia="仿宋_GB2312" w:cs="仿宋_GB2312"/>
          <w:b/>
          <w:bCs/>
          <w:spacing w:val="17"/>
          <w:sz w:val="32"/>
        </w:rPr>
        <w:t>综合指数、PM</w:t>
      </w:r>
      <w:r>
        <w:rPr>
          <w:rFonts w:hint="eastAsia" w:ascii="仿宋_GB2312" w:hAnsi="仿宋_GB2312" w:eastAsia="仿宋_GB2312" w:cs="仿宋_GB2312"/>
          <w:b/>
          <w:bCs/>
          <w:spacing w:val="17"/>
          <w:sz w:val="21"/>
        </w:rPr>
        <w:t>2.5</w:t>
      </w:r>
      <w:r>
        <w:rPr>
          <w:rFonts w:hint="eastAsia" w:ascii="仿宋_GB2312" w:hAnsi="仿宋_GB2312" w:eastAsia="仿宋_GB2312" w:cs="仿宋_GB2312"/>
          <w:b/>
          <w:bCs/>
          <w:spacing w:val="17"/>
          <w:sz w:val="32"/>
        </w:rPr>
        <w:t>、PM</w:t>
      </w:r>
      <w:r>
        <w:rPr>
          <w:rFonts w:hint="eastAsia" w:ascii="仿宋_GB2312" w:hAnsi="仿宋_GB2312" w:eastAsia="仿宋_GB2312" w:cs="仿宋_GB2312"/>
          <w:b/>
          <w:bCs/>
          <w:spacing w:val="17"/>
          <w:sz w:val="21"/>
        </w:rPr>
        <w:t>10</w:t>
      </w:r>
      <w:r>
        <w:rPr>
          <w:rFonts w:hint="eastAsia" w:ascii="仿宋_GB2312" w:hAnsi="仿宋_GB2312" w:eastAsia="仿宋_GB2312" w:cs="仿宋_GB2312"/>
          <w:b/>
          <w:bCs/>
          <w:spacing w:val="17"/>
          <w:sz w:val="32"/>
        </w:rPr>
        <w:t>、二氧化硫、O</w:t>
      </w:r>
      <w:r>
        <w:rPr>
          <w:rFonts w:hint="eastAsia" w:ascii="仿宋_GB2312" w:hAnsi="仿宋_GB2312" w:eastAsia="仿宋_GB2312" w:cs="仿宋_GB2312"/>
          <w:b/>
          <w:bCs/>
          <w:spacing w:val="17"/>
          <w:sz w:val="21"/>
        </w:rPr>
        <w:t>3</w:t>
      </w:r>
      <w:r>
        <w:rPr>
          <w:rFonts w:hint="eastAsia" w:ascii="仿宋_GB2312" w:hAnsi="仿宋_GB2312" w:eastAsia="仿宋_GB2312" w:cs="仿宋_GB2312"/>
          <w:b/>
          <w:bCs/>
          <w:spacing w:val="17"/>
          <w:sz w:val="32"/>
        </w:rPr>
        <w:t>浓度考核基数为当月全区镇街平均值和各镇街上年同期值</w:t>
      </w:r>
      <w:r>
        <w:rPr>
          <w:rFonts w:hint="eastAsia" w:ascii="仿宋_GB2312" w:hAnsi="仿宋_GB2312" w:eastAsia="仿宋_GB2312" w:cs="仿宋_GB2312"/>
          <w:b/>
          <w:bCs/>
          <w:spacing w:val="17"/>
          <w:w w:val="100"/>
          <w:kern w:val="0"/>
          <w:sz w:val="32"/>
          <w:szCs w:val="32"/>
        </w:rPr>
        <w:t>。</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黑体" w:cs="仿宋_GB2312"/>
          <w:b/>
          <w:spacing w:val="17"/>
          <w:w w:val="100"/>
          <w:kern w:val="0"/>
          <w:sz w:val="32"/>
          <w:szCs w:val="32"/>
          <w:lang w:val="en-US" w:eastAsia="zh-CN"/>
        </w:rPr>
      </w:pPr>
      <w:r>
        <w:rPr>
          <w:rFonts w:hint="eastAsia" w:ascii="黑体" w:hAnsi="黑体" w:eastAsia="黑体" w:cs="黑体"/>
          <w:b/>
          <w:spacing w:val="17"/>
          <w:w w:val="100"/>
          <w:kern w:val="0"/>
          <w:sz w:val="32"/>
          <w:szCs w:val="32"/>
        </w:rPr>
        <w:t>四、考核</w:t>
      </w:r>
      <w:r>
        <w:rPr>
          <w:rFonts w:hint="eastAsia" w:ascii="黑体" w:hAnsi="黑体" w:eastAsia="黑体" w:cs="黑体"/>
          <w:b/>
          <w:spacing w:val="17"/>
          <w:w w:val="100"/>
          <w:kern w:val="0"/>
          <w:sz w:val="32"/>
          <w:szCs w:val="32"/>
          <w:lang w:val="en-US" w:eastAsia="zh-CN"/>
        </w:rPr>
        <w:t>方法</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对当月监测结果差于考核基数或同比恶化的镇街，进行资金扣罚。对当月监测结果好于考核基数或同比改善的镇街，给予资金奖补。</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lang w:val="en-US" w:eastAsia="zh-CN"/>
        </w:rPr>
      </w:pPr>
      <w:r>
        <w:rPr>
          <w:rFonts w:hint="eastAsia" w:ascii="楷体_GB2312" w:hAnsi="楷体_GB2312" w:eastAsia="楷体_GB2312" w:cs="楷体_GB2312"/>
          <w:b/>
          <w:spacing w:val="17"/>
          <w:w w:val="100"/>
          <w:kern w:val="0"/>
          <w:sz w:val="32"/>
          <w:szCs w:val="32"/>
        </w:rPr>
        <w:t>（一）资金扣罚</w:t>
      </w:r>
      <w:r>
        <w:rPr>
          <w:rFonts w:hint="eastAsia" w:ascii="仿宋_GB2312" w:hAnsi="仿宋_GB2312" w:eastAsia="仿宋_GB2312" w:cs="仿宋_GB2312"/>
          <w:b/>
          <w:spacing w:val="17"/>
          <w:w w:val="100"/>
          <w:kern w:val="0"/>
          <w:sz w:val="32"/>
          <w:szCs w:val="32"/>
          <w:lang w:val="en-US" w:eastAsia="zh-CN"/>
        </w:rPr>
        <w:t xml:space="preserve">  </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1、资金扣罚对象为当月指标监测结果同比恶化或高于考核区域平均值的镇（街）。</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firstLine="711" w:firstLineChars="200"/>
        <w:jc w:val="left"/>
        <w:textAlignment w:val="auto"/>
        <w:rPr>
          <w:rFonts w:hint="eastAsia" w:ascii="仿宋_GB2312" w:hAnsi="仿宋_GB2312" w:eastAsia="仿宋_GB2312" w:cs="仿宋_GB2312"/>
          <w:b/>
          <w:bCs w:val="0"/>
          <w:spacing w:val="17"/>
          <w:w w:val="100"/>
          <w:kern w:val="0"/>
          <w:sz w:val="32"/>
          <w:szCs w:val="32"/>
        </w:rPr>
      </w:pPr>
      <w:r>
        <w:rPr>
          <w:rFonts w:hint="eastAsia" w:ascii="仿宋_GB2312" w:hAnsi="仿宋_GB2312" w:eastAsia="仿宋_GB2312" w:cs="仿宋_GB2312"/>
          <w:b/>
          <w:bCs w:val="0"/>
          <w:spacing w:val="17"/>
          <w:sz w:val="32"/>
        </w:rPr>
        <w:t>2、PM</w:t>
      </w:r>
      <w:r>
        <w:rPr>
          <w:rFonts w:hint="eastAsia" w:ascii="仿宋_GB2312" w:hAnsi="仿宋_GB2312" w:eastAsia="仿宋_GB2312" w:cs="仿宋_GB2312"/>
          <w:b/>
          <w:bCs w:val="0"/>
          <w:spacing w:val="17"/>
          <w:sz w:val="21"/>
        </w:rPr>
        <w:t>2.5</w:t>
      </w:r>
      <w:r>
        <w:rPr>
          <w:rFonts w:hint="eastAsia" w:ascii="仿宋_GB2312" w:hAnsi="仿宋_GB2312" w:eastAsia="仿宋_GB2312" w:cs="仿宋_GB2312"/>
          <w:b/>
          <w:bCs w:val="0"/>
          <w:spacing w:val="17"/>
          <w:sz w:val="32"/>
        </w:rPr>
        <w:t>、PM</w:t>
      </w:r>
      <w:r>
        <w:rPr>
          <w:rFonts w:hint="eastAsia" w:ascii="仿宋_GB2312" w:hAnsi="仿宋_GB2312" w:eastAsia="仿宋_GB2312" w:cs="仿宋_GB2312"/>
          <w:b/>
          <w:bCs w:val="0"/>
          <w:spacing w:val="17"/>
          <w:sz w:val="21"/>
        </w:rPr>
        <w:t>10</w:t>
      </w:r>
      <w:r>
        <w:rPr>
          <w:rFonts w:hint="eastAsia" w:ascii="仿宋_GB2312" w:hAnsi="仿宋_GB2312" w:eastAsia="仿宋_GB2312" w:cs="仿宋_GB2312"/>
          <w:b/>
          <w:bCs w:val="0"/>
          <w:spacing w:val="17"/>
          <w:sz w:val="32"/>
        </w:rPr>
        <w:t>、二氧化硫浓度与考核基数相比，差值在5个微克以（含）内时，扣罚资金系数为2000元/微克，在5个微克以上时，扣罚资金系数为4000元/微克</w:t>
      </w:r>
      <w:r>
        <w:rPr>
          <w:rFonts w:hint="eastAsia" w:ascii="仿宋_GB2312" w:hAnsi="仿宋_GB2312" w:eastAsia="仿宋_GB2312" w:cs="仿宋_GB2312"/>
          <w:b/>
          <w:bCs w:val="0"/>
          <w:spacing w:val="17"/>
          <w:w w:val="1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firstLine="711" w:firstLineChars="200"/>
        <w:jc w:val="left"/>
        <w:textAlignment w:val="auto"/>
        <w:rPr>
          <w:rFonts w:hint="eastAsia" w:ascii="仿宋_GB2312" w:hAnsi="仿宋_GB2312" w:eastAsia="仿宋_GB2312" w:cs="仿宋_GB2312"/>
          <w:b/>
          <w:bCs w:val="0"/>
          <w:spacing w:val="17"/>
          <w:w w:val="100"/>
          <w:kern w:val="0"/>
          <w:sz w:val="32"/>
          <w:szCs w:val="32"/>
        </w:rPr>
      </w:pPr>
      <w:r>
        <w:rPr>
          <w:rFonts w:hint="eastAsia" w:ascii="仿宋_GB2312" w:hAnsi="仿宋_GB2312" w:eastAsia="仿宋_GB2312" w:cs="仿宋_GB2312"/>
          <w:b/>
          <w:bCs w:val="0"/>
          <w:spacing w:val="17"/>
          <w:sz w:val="32"/>
        </w:rPr>
        <w:t>O</w:t>
      </w:r>
      <w:r>
        <w:rPr>
          <w:rFonts w:hint="eastAsia" w:ascii="仿宋_GB2312" w:hAnsi="仿宋_GB2312" w:eastAsia="仿宋_GB2312" w:cs="仿宋_GB2312"/>
          <w:b/>
          <w:bCs w:val="0"/>
          <w:spacing w:val="17"/>
          <w:sz w:val="21"/>
        </w:rPr>
        <w:t xml:space="preserve">3 </w:t>
      </w:r>
      <w:r>
        <w:rPr>
          <w:rFonts w:hint="eastAsia" w:ascii="仿宋_GB2312" w:hAnsi="仿宋_GB2312" w:eastAsia="仿宋_GB2312" w:cs="仿宋_GB2312"/>
          <w:b/>
          <w:bCs w:val="0"/>
          <w:spacing w:val="17"/>
          <w:sz w:val="32"/>
        </w:rPr>
        <w:t>浓度与考核基数相比，差值在16个微克以（含）内时扣罚资金系数为2000元/微克，在16个微克以上时，扣罚资金系数为4000元/微克</w:t>
      </w:r>
      <w:r>
        <w:rPr>
          <w:rFonts w:hint="eastAsia" w:ascii="仿宋_GB2312" w:hAnsi="仿宋_GB2312" w:eastAsia="仿宋_GB2312" w:cs="仿宋_GB2312"/>
          <w:b/>
          <w:bCs w:val="0"/>
          <w:spacing w:val="17"/>
          <w:w w:val="100"/>
          <w:kern w:val="0"/>
          <w:sz w:val="32"/>
          <w:szCs w:val="32"/>
        </w:rPr>
        <w:t>。</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空气质量综合指数与考核基数相比，差值在1个数值（含）以内时，扣罚资金系数为1万元/个数值，超过1个数值时，扣罚资金系数为2万元/个数值。</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3、单项指标扣罚资金=高于考核区域平均值的扣罚资金+同比恶化扣罚资金。高于考核区域平均值的扣罚资金=0.5×［（考核镇街当月环境空气质量指标值-全区镇街当月环境空气质量指标平均值）×扣罚资金系数］。</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同比恶化的扣罚资金=1.2×［（考核镇街当月环境空气质量指标值-考核镇街上年同期环境空气质量指标值）×扣罚资金系数］。</w:t>
      </w:r>
    </w:p>
    <w:p>
      <w:pPr>
        <w:keepNext w:val="0"/>
        <w:keepLines w:val="0"/>
        <w:pageBreakBefore w:val="0"/>
        <w:widowControl w:val="0"/>
        <w:wordWrap/>
        <w:topLinePunct w:val="0"/>
        <w:autoSpaceDE w:val="0"/>
        <w:autoSpaceDN w:val="0"/>
        <w:bidi w:val="0"/>
        <w:adjustRightInd w:val="0"/>
        <w:snapToGrid/>
        <w:spacing w:beforeLines="0" w:afterLines="0" w:line="560" w:lineRule="exact"/>
        <w:ind w:firstLine="711" w:firstLineChars="200"/>
        <w:jc w:val="left"/>
        <w:textAlignment w:val="auto"/>
        <w:rPr>
          <w:rFonts w:hint="eastAsia" w:ascii="仿宋_GB2312" w:hAnsi="仿宋_GB2312" w:eastAsia="仿宋_GB2312" w:cs="仿宋_GB2312"/>
          <w:b/>
          <w:bCs w:val="0"/>
          <w:spacing w:val="17"/>
          <w:w w:val="100"/>
          <w:kern w:val="0"/>
          <w:sz w:val="32"/>
          <w:szCs w:val="32"/>
        </w:rPr>
      </w:pPr>
      <w:r>
        <w:rPr>
          <w:rFonts w:hint="eastAsia" w:ascii="仿宋_GB2312" w:hAnsi="仿宋_GB2312" w:eastAsia="仿宋_GB2312" w:cs="仿宋_GB2312"/>
          <w:b/>
          <w:bCs w:val="0"/>
          <w:spacing w:val="17"/>
          <w:sz w:val="32"/>
        </w:rPr>
        <w:t>4、当月镇（街）PM</w:t>
      </w:r>
      <w:r>
        <w:rPr>
          <w:rFonts w:hint="eastAsia" w:ascii="仿宋_GB2312" w:hAnsi="仿宋_GB2312" w:eastAsia="仿宋_GB2312" w:cs="仿宋_GB2312"/>
          <w:b/>
          <w:bCs w:val="0"/>
          <w:spacing w:val="17"/>
          <w:sz w:val="21"/>
        </w:rPr>
        <w:t>2.5</w:t>
      </w:r>
      <w:r>
        <w:rPr>
          <w:rFonts w:hint="eastAsia" w:ascii="仿宋_GB2312" w:hAnsi="仿宋_GB2312" w:eastAsia="仿宋_GB2312" w:cs="仿宋_GB2312"/>
          <w:b/>
          <w:bCs w:val="0"/>
          <w:spacing w:val="17"/>
          <w:sz w:val="32"/>
        </w:rPr>
        <w:t>、PM</w:t>
      </w:r>
      <w:r>
        <w:rPr>
          <w:rFonts w:hint="eastAsia" w:ascii="仿宋_GB2312" w:hAnsi="仿宋_GB2312" w:eastAsia="仿宋_GB2312" w:cs="仿宋_GB2312"/>
          <w:b/>
          <w:bCs w:val="0"/>
          <w:spacing w:val="17"/>
          <w:sz w:val="21"/>
        </w:rPr>
        <w:t xml:space="preserve">10 </w:t>
      </w:r>
      <w:r>
        <w:rPr>
          <w:rFonts w:hint="eastAsia" w:ascii="仿宋_GB2312" w:hAnsi="仿宋_GB2312" w:eastAsia="仿宋_GB2312" w:cs="仿宋_GB2312"/>
          <w:b/>
          <w:bCs w:val="0"/>
          <w:spacing w:val="17"/>
          <w:sz w:val="32"/>
        </w:rPr>
        <w:t>或O</w:t>
      </w:r>
      <w:r>
        <w:rPr>
          <w:rFonts w:hint="eastAsia" w:ascii="仿宋_GB2312" w:hAnsi="仿宋_GB2312" w:eastAsia="仿宋_GB2312" w:cs="仿宋_GB2312"/>
          <w:b/>
          <w:bCs w:val="0"/>
          <w:spacing w:val="17"/>
          <w:sz w:val="21"/>
        </w:rPr>
        <w:t xml:space="preserve">3 </w:t>
      </w:r>
      <w:r>
        <w:rPr>
          <w:rFonts w:hint="eastAsia" w:ascii="仿宋_GB2312" w:hAnsi="仿宋_GB2312" w:eastAsia="仿宋_GB2312" w:cs="仿宋_GB2312"/>
          <w:b/>
          <w:bCs w:val="0"/>
          <w:spacing w:val="17"/>
          <w:sz w:val="32"/>
        </w:rPr>
        <w:t>浓度达到国家《环境空气质量标准》二级标准的，以及二氧化硫浓度低于15微克/立方米（含）的，不进行扣罚；当月镇街扣罚资金超过8万元的，按照8万元计，当月镇街奖励资金超过8万元的，按照8万元计。</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lang w:val="en-US" w:eastAsia="zh-CN"/>
        </w:rPr>
      </w:pPr>
      <w:r>
        <w:rPr>
          <w:rFonts w:hint="eastAsia" w:ascii="楷体_GB2312" w:hAnsi="楷体_GB2312" w:eastAsia="楷体_GB2312" w:cs="楷体_GB2312"/>
          <w:b/>
          <w:spacing w:val="17"/>
          <w:w w:val="100"/>
          <w:kern w:val="0"/>
          <w:sz w:val="32"/>
          <w:szCs w:val="32"/>
        </w:rPr>
        <w:t>（二）资金奖励</w:t>
      </w:r>
      <w:r>
        <w:rPr>
          <w:rFonts w:hint="eastAsia" w:ascii="仿宋_GB2312" w:hAnsi="仿宋_GB2312" w:eastAsia="仿宋_GB2312" w:cs="仿宋_GB2312"/>
          <w:b/>
          <w:spacing w:val="17"/>
          <w:w w:val="100"/>
          <w:kern w:val="0"/>
          <w:sz w:val="32"/>
          <w:szCs w:val="32"/>
          <w:lang w:val="en-US" w:eastAsia="zh-CN"/>
        </w:rPr>
        <w:t xml:space="preserve">  </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1、资金奖励对象为当月监测结果同比改善和好于考核区域平均值的镇街。</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2、单项指标奖励资金=0.8×单项指标扣罚资金总额×［考核镇街单项指标改善奖励百分比+考核镇街单项指标低于考核基数奖励百分比］。</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考核镇街单项指标改善奖励百分比=80%×［考核镇街当月指标同比下降值/考核区域同比改善镇街当月指标同比下降值之和］。</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考核镇街单项指标低于考核基数奖励百分比=20%×［考核镇街当月指标低于考核基数的数值/考核区域所有考核镇街当月指标低于考核基数的数值之和］。</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楷体_GB2312" w:hAnsi="楷体_GB2312" w:eastAsia="楷体_GB2312" w:cs="楷体_GB2312"/>
          <w:b/>
          <w:spacing w:val="17"/>
          <w:w w:val="100"/>
          <w:kern w:val="0"/>
          <w:sz w:val="32"/>
          <w:szCs w:val="32"/>
        </w:rPr>
      </w:pPr>
      <w:r>
        <w:rPr>
          <w:rFonts w:hint="eastAsia" w:ascii="楷体_GB2312" w:hAnsi="楷体_GB2312" w:eastAsia="楷体_GB2312" w:cs="楷体_GB2312"/>
          <w:b/>
          <w:spacing w:val="17"/>
          <w:w w:val="100"/>
          <w:kern w:val="0"/>
          <w:sz w:val="32"/>
          <w:szCs w:val="32"/>
        </w:rPr>
        <w:t>（三）其他</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楷体_GB2312" w:hAnsi="楷体_GB2312" w:eastAsia="楷体_GB2312" w:cs="楷体_GB2312"/>
          <w:b/>
          <w:spacing w:val="17"/>
          <w:w w:val="100"/>
          <w:kern w:val="0"/>
          <w:sz w:val="32"/>
          <w:szCs w:val="32"/>
        </w:rPr>
      </w:pPr>
      <w:r>
        <w:rPr>
          <w:rFonts w:hint="eastAsia" w:ascii="仿宋_GB2312" w:hAnsi="仿宋_GB2312" w:eastAsia="仿宋_GB2312" w:cs="仿宋_GB2312"/>
          <w:b/>
          <w:spacing w:val="17"/>
          <w:w w:val="100"/>
          <w:kern w:val="0"/>
          <w:sz w:val="32"/>
          <w:szCs w:val="32"/>
        </w:rPr>
        <w:t>考核镇街各单项指标环境空气质量奖励和扣罚资金相抵即为该镇街当月环境空气质量奖惩资金。</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黑体" w:hAnsi="黑体" w:eastAsia="黑体" w:cs="黑体"/>
          <w:b/>
          <w:spacing w:val="17"/>
          <w:w w:val="100"/>
          <w:kern w:val="0"/>
          <w:sz w:val="32"/>
          <w:szCs w:val="32"/>
        </w:rPr>
      </w:pPr>
      <w:r>
        <w:rPr>
          <w:rFonts w:hint="eastAsia" w:ascii="黑体" w:hAnsi="黑体" w:eastAsia="黑体" w:cs="黑体"/>
          <w:b/>
          <w:spacing w:val="17"/>
          <w:w w:val="100"/>
          <w:kern w:val="0"/>
          <w:sz w:val="32"/>
          <w:szCs w:val="32"/>
        </w:rPr>
        <w:t>五、数据来源</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考核数据采用经枣庄市乡镇空气质量监控系统审核后的数据。发现数据弄虚作假行为的，将按照有关规定严肃处理，并直接进行8万元的处罚。</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黑体" w:hAnsi="黑体" w:eastAsia="黑体" w:cs="黑体"/>
          <w:b/>
          <w:spacing w:val="17"/>
          <w:w w:val="100"/>
          <w:kern w:val="0"/>
          <w:sz w:val="32"/>
          <w:szCs w:val="32"/>
        </w:rPr>
      </w:pPr>
      <w:r>
        <w:rPr>
          <w:rFonts w:hint="eastAsia" w:ascii="黑体" w:hAnsi="黑体" w:eastAsia="黑体" w:cs="黑体"/>
          <w:b/>
          <w:spacing w:val="17"/>
          <w:w w:val="100"/>
          <w:kern w:val="0"/>
          <w:sz w:val="32"/>
          <w:szCs w:val="32"/>
        </w:rPr>
        <w:t>六、考核组织</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区生态环境分局负责每月对各镇街环境空气质量改善奖惩结果进行核算，将奖惩结果通报区政府并在媒体公布。每月区财政局依据区生态环境分局出具的考核结果汇总情况报告通过结算统一进行扣缴与奖励。</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黑体" w:hAnsi="黑体" w:eastAsia="黑体" w:cs="黑体"/>
          <w:b/>
          <w:spacing w:val="17"/>
          <w:w w:val="100"/>
          <w:kern w:val="0"/>
          <w:sz w:val="32"/>
          <w:szCs w:val="32"/>
        </w:rPr>
      </w:pPr>
      <w:r>
        <w:rPr>
          <w:rFonts w:hint="eastAsia" w:ascii="黑体" w:hAnsi="黑体" w:eastAsia="黑体" w:cs="黑体"/>
          <w:b/>
          <w:spacing w:val="17"/>
          <w:w w:val="100"/>
          <w:kern w:val="0"/>
          <w:sz w:val="32"/>
          <w:szCs w:val="32"/>
        </w:rPr>
        <w:t>七、资金管理</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各镇街环境空气质量奖励及扣罚结余资金按照相关管理规定，作为区级生态环境保护使用，统筹用于改善环境空气质量方面的项目，包括大气污染防治重点项目、环境空气质量监测和监管基础能力建设、相关科学研究等。区财政局、区生态环境分局对资金使用进行监督管理。</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黑体" w:hAnsi="黑体" w:eastAsia="黑体" w:cs="黑体"/>
          <w:b/>
          <w:spacing w:val="17"/>
          <w:w w:val="100"/>
          <w:kern w:val="0"/>
          <w:sz w:val="32"/>
          <w:szCs w:val="32"/>
        </w:rPr>
      </w:pPr>
      <w:r>
        <w:rPr>
          <w:rFonts w:hint="eastAsia" w:ascii="黑体" w:hAnsi="黑体" w:eastAsia="黑体" w:cs="黑体"/>
          <w:b/>
          <w:spacing w:val="17"/>
          <w:w w:val="100"/>
          <w:kern w:val="0"/>
          <w:sz w:val="32"/>
          <w:szCs w:val="32"/>
        </w:rPr>
        <w:t>八、其他</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0" w:firstLine="711" w:firstLineChars="200"/>
        <w:jc w:val="both"/>
        <w:textAlignment w:val="auto"/>
        <w:rPr>
          <w:rFonts w:hint="eastAsia" w:ascii="仿宋_GB2312" w:hAnsi="仿宋_GB2312" w:eastAsia="仿宋_GB2312" w:cs="仿宋_GB2312"/>
          <w:b/>
          <w:spacing w:val="17"/>
          <w:w w:val="100"/>
          <w:kern w:val="0"/>
          <w:sz w:val="32"/>
          <w:szCs w:val="32"/>
        </w:rPr>
      </w:pPr>
      <w:r>
        <w:rPr>
          <w:rFonts w:hint="eastAsia" w:ascii="仿宋_GB2312" w:hAnsi="仿宋_GB2312" w:eastAsia="仿宋_GB2312" w:cs="仿宋_GB2312"/>
          <w:b/>
          <w:spacing w:val="17"/>
          <w:w w:val="100"/>
          <w:kern w:val="0"/>
          <w:sz w:val="32"/>
          <w:szCs w:val="32"/>
        </w:rPr>
        <w:t>本方案自2024年2月起实施。原《市中区环境空气质量量化考核奖惩办法》同时废止。</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60" w:lineRule="exact"/>
        <w:ind w:left="102"/>
        <w:textAlignment w:val="auto"/>
        <w:rPr>
          <w:rFonts w:hint="eastAsia" w:ascii="仿宋_GB2312" w:hAnsi="仿宋_GB2312" w:eastAsia="仿宋_GB2312"/>
          <w:b/>
          <w:spacing w:val="17"/>
          <w:w w:val="100"/>
          <w:kern w:val="32"/>
          <w:sz w:val="32"/>
        </w:rPr>
      </w:pPr>
    </w:p>
    <w:sectPr>
      <w:pgSz w:w="11910" w:h="16840"/>
      <w:pgMar w:top="1580" w:right="1300" w:bottom="1580" w:left="1500" w:header="0" w:footer="1388"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hint="eastAsia"/>
        <w:b w:val="0"/>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wik0GzAEAAHkDAAAOAAAAAAAAAAEAIAAAAB4BAABkcnMvZTJv&#10;RG9jLnhtbFBLBQYAAAAABgAGAFkBAABc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G5XyHzAEAAHkDAAAOAAAAAAAAAAEAIAAAAB4BAABkcnMvZTJv&#10;RG9jLnhtbFBLBQYAAAAABgAGAFkBAABc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6C200C"/>
    <w:rsid w:val="11D57FA5"/>
    <w:rsid w:val="18271274"/>
    <w:rsid w:val="28A06E5D"/>
    <w:rsid w:val="32F27E1D"/>
    <w:rsid w:val="52DD3763"/>
    <w:rsid w:val="65A854C3"/>
    <w:rsid w:val="7B3F4B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iPriority="1"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Microsoft JhengHei" w:hAnsi="Microsoft JhengHei" w:eastAsia="Microsoft JhengHei" w:cs="Times New Roman"/>
      <w:sz w:val="22"/>
    </w:rPr>
  </w:style>
  <w:style w:type="paragraph" w:styleId="2">
    <w:name w:val="heading 1"/>
    <w:basedOn w:val="1"/>
    <w:next w:val="1"/>
    <w:unhideWhenUsed/>
    <w:qFormat/>
    <w:uiPriority w:val="1"/>
    <w:pPr>
      <w:ind w:left="256" w:right="449"/>
      <w:jc w:val="center"/>
      <w:outlineLvl w:val="0"/>
    </w:pPr>
    <w:rPr>
      <w:rFonts w:hint="eastAsia" w:ascii="方正小标宋简体" w:hAnsi="方正小标宋简体" w:eastAsia="方正小标宋简体"/>
      <w:b/>
      <w:sz w:val="44"/>
    </w:rPr>
  </w:style>
  <w:style w:type="character" w:default="1" w:styleId="8">
    <w:name w:val="Default Paragraph Font"/>
    <w:unhideWhenUsed/>
    <w:qFormat/>
    <w:uiPriority w:val="99"/>
    <w:rPr>
      <w:rFonts w:hint="default"/>
      <w:sz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1"/>
    <w:rPr>
      <w:rFonts w:hint="eastAsia"/>
      <w:b/>
      <w:sz w:val="32"/>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unhideWhenUsed/>
    <w:qFormat/>
    <w:uiPriority w:val="1"/>
    <w:pPr>
      <w:spacing w:line="2364" w:lineRule="exact"/>
      <w:ind w:left="264" w:right="449"/>
      <w:jc w:val="center"/>
    </w:pPr>
    <w:rPr>
      <w:rFonts w:hint="eastAsia" w:ascii="方正小标宋简体" w:hAnsi="方正小标宋简体" w:eastAsia="方正小标宋简体"/>
      <w:sz w:val="160"/>
    </w:rPr>
  </w:style>
  <w:style w:type="paragraph" w:customStyle="1" w:styleId="9">
    <w:name w:val="Table Paragraph"/>
    <w:basedOn w:val="1"/>
    <w:unhideWhenUsed/>
    <w:qFormat/>
    <w:uiPriority w:val="1"/>
    <w:rPr>
      <w:rFonts w:hint="eastAsia"/>
      <w:sz w:val="24"/>
    </w:rPr>
  </w:style>
  <w:style w:type="paragraph" w:styleId="10">
    <w:name w:val="List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1874</Words>
  <Characters>1934</Characters>
  <TotalTime>33</TotalTime>
  <ScaleCrop>false</ScaleCrop>
  <LinksUpToDate>false</LinksUpToDate>
  <CharactersWithSpaces>2007</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2023-08-11T08:46:00Z</dcterms:created>
  <dc:creator>lirong</dc:creator>
  <cp:lastModifiedBy>lirong</cp:lastModifiedBy>
  <dcterms:modified xsi:type="dcterms:W3CDTF">2024-03-07T08:42:20Z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